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Lines w:val="0"/>
        <w:spacing w:before="0" w:after="360" w:line="300" w:lineRule="auto"/>
        <w:jc w:val="left"/>
      </w:pPr>
      <w:r>
        <w:rPr>
          <w:rFonts w:ascii="PingFang SC" w:hAnsi="PingFang SC" w:eastAsia="PingFang SC"/>
          <w:b/>
          <w:sz w:val="44"/>
        </w:rPr>
        <w:t>WiFi音箱 - 量产版 AI 接入与商业化方案设计 v1</w:t>
      </w:r>
    </w:p>
    <w:p>
      <w:pPr>
        <w:keepLines w:val="0"/>
        <w:spacing w:before="0" w:after="60" w:line="300" w:lineRule="auto"/>
        <w:jc w:val="left"/>
      </w:pPr>
      <w:r>
        <w:rPr>
          <w:rFonts w:ascii="Songti SC" w:hAnsi="Songti SC" w:eastAsia="Songti SC"/>
          <w:b w:val="0"/>
          <w:color w:val="666666"/>
          <w:sz w:val="23"/>
        </w:rPr>
        <w:t>版本：1.0</w:t>
      </w:r>
    </w:p>
    <w:p>
      <w:pPr>
        <w:keepLines w:val="0"/>
        <w:spacing w:before="0" w:after="440" w:line="300" w:lineRule="auto"/>
        <w:jc w:val="left"/>
      </w:pPr>
      <w:r>
        <w:rPr>
          <w:rFonts w:ascii="Songti SC" w:hAnsi="Songti SC" w:eastAsia="Songti SC"/>
          <w:b w:val="0"/>
          <w:color w:val="666666"/>
          <w:sz w:val="23"/>
        </w:rPr>
        <w:t>日期：2026 年 3 月 21 日</w:t>
      </w:r>
    </w:p>
    <w:p>
      <w:pPr>
        <w:keepLines w:val="0"/>
        <w:spacing w:before="0" w:after="160" w:line="300" w:lineRule="auto"/>
        <w:jc w:val="left"/>
      </w:pPr>
      <w:r>
        <w:rPr>
          <w:rFonts w:ascii="PingFang SC" w:hAnsi="PingFang SC" w:eastAsia="PingFang SC"/>
          <w:b/>
          <w:sz w:val="34"/>
        </w:rPr>
        <w:t>目录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>• 一、通用设计规范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1.1 设计目标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1.2 边界划分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1.3 架构基线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1.4 设备身份与证书约束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1.5 临时凭证与网关约束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1.6 通用请求头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1.7 通用响应结构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1.8 错误码设计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1.9 权威计量与账本对账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1.10 套餐 entitlement 语义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1.11 低水位续权与 grace quota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1.12 风控与审计基线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>• 二、系统总览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2.1 分层架构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2.2 关键对象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2.3 会话状态机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2.4 套餐与分账策略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>• 三、接口详细设计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3.1 设备激活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3.2 设备登录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3.3 开启会话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3.4 续签租约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3.5 心跳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3.6 恢复会话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3.7 关闭会话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 xml:space="preserve">  ◦ 3.8 用量回调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>• 四、数据模型与账本设计</w:t>
      </w:r>
    </w:p>
    <w:p>
      <w:pPr>
        <w:keepLines w:val="0"/>
        <w:spacing w:before="0" w:after="20" w:line="300" w:lineRule="auto"/>
        <w:jc w:val="left"/>
      </w:pPr>
      <w:r>
        <w:rPr>
          <w:rFonts w:ascii="Songti SC" w:hAnsi="Songti SC" w:eastAsia="Songti SC"/>
          <w:b w:val="0"/>
          <w:color w:val="4A90E2"/>
          <w:sz w:val="21"/>
        </w:rPr>
        <w:t>• 五、部署与运维建议</w:t>
      </w:r>
    </w:p>
    <w:p>
      <w:r>
        <w:br w:type="page"/>
      </w:r>
    </w:p>
    <w:p>
      <w:pPr>
        <w:spacing w:before="200" w:after="80"/>
      </w:pPr>
      <w:r>
        <w:rPr>
          <w:rFonts w:ascii="PingFang SC" w:hAnsi="PingFang SC" w:eastAsia="PingFang SC"/>
          <w:b/>
          <w:sz w:val="30"/>
        </w:rPr>
        <w:t>一、通用设计规范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1.1 设计目标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本方案面向量产 WiFi 音箱类设备，目标是在不明显牺牲用户体感的前提下，统一解决设备身份、AI 任务接入、套餐控制、权威计量、风险控制和商业化扩展问题。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551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目标</w:t>
            </w:r>
          </w:p>
        </w:tc>
        <w:tc>
          <w:tcPr>
            <w:tcW w:type="dxa" w:w="6520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安全可控</w:t>
            </w:r>
          </w:p>
        </w:tc>
        <w:tc>
          <w:tcPr>
            <w:tcW w:type="dxa" w:w="652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设备不长期持有可直接消费高价值 AI 资源的主密钥或主能力。</w:t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用户体验稳定</w:t>
            </w:r>
          </w:p>
        </w:tc>
        <w:tc>
          <w:tcPr>
            <w:tcW w:type="dxa" w:w="652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支持低水位续权、自然边界收口、弱网恢复和 graceful stop。</w:t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商业化量产</w:t>
            </w:r>
          </w:p>
        </w:tc>
        <w:tc>
          <w:tcPr>
            <w:tcW w:type="dxa" w:w="652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支持套餐 entitlement、家庭设备、渠道分账和企业客户扩展。</w:t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运维可审计</w:t>
            </w:r>
          </w:p>
        </w:tc>
        <w:tc>
          <w:tcPr>
            <w:tcW w:type="dxa" w:w="652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计量、账本、回调、审计链路可追踪、可纠偏、可回放。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1.2 边界划分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+------------------+      +----------------------+      +----------------------+</w:t>
              <w:br/>
              <w:t>| 用户手机 / 小程序   |      | 业务服务端            |      | 火山云侧              |</w:t>
              <w:br/>
              <w:t>| - 套餐购买          |      | - 设备身份中心        |      | - RTC / 媒体服务      |</w:t>
              <w:br/>
              <w:t>| - 绑定设备          |      | - 会话与租约          |      | - 方舟模型接入点      |</w:t>
              <w:br/>
              <w:t>| - 查看权益          |      | - APIG / AI Gateway   |      | - Usage / 账单能力    |</w:t>
              <w:br/>
              <w:t>+--------+---------+      | - 账本与分账          |      +----------+-----------+</w:t>
              <w:br/>
              <w:t xml:space="preserve">         |                | - 风控与审计          |                 ^</w:t>
              <w:br/>
              <w:t xml:space="preserve">         | HTTPS          +----------+-----------+                 |</w:t>
              <w:br/>
              <w:t xml:space="preserve">         v                           ^                             |</w:t>
              <w:br/>
              <w:t>+------------------+                 | HTTPS 控制面 / 文本任务面    |</w:t>
              <w:br/>
              <w:t>| 设备               |                 |                             |</w:t>
              <w:br/>
              <w:t>| - 设备证书身份      +-----------------+                             |</w:t>
              <w:br/>
              <w:t>| - 临时 JWT / 临时密钥|                                               |</w:t>
              <w:br/>
              <w:t>| - 媒体面尽量直连云侧 +-----------------------------------------------+</w:t>
              <w:br/>
              <w:t>+------------------+                媒体面直连 / 控制面走业务服务端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说明：控制面、商业面、计量面统一由业务服务端承接；媒体面尽量直连火山云侧；文本与高价值 AI 任务优先经你的 APIG / AI Gateway。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1.3 架构基线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Gateway Base URL：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https://api.example-ai.com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统一前缀：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/api/v1</w:t>
            </w:r>
          </w:p>
        </w:tc>
      </w:tr>
    </w:tbl>
    <w:p/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26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项</w:t>
            </w:r>
          </w:p>
        </w:tc>
        <w:tc>
          <w:tcPr>
            <w:tcW w:type="dxa" w:w="680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约定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编码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请求与响应统一使用 application/json; charset=utf-8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时间单位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所有时间戳统一使用 Unix 秒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身份模型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设备以 device_id + 设备证书或设备密钥对作为根身份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会话模型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所有高价值任务均挂在 session_id 和 lease_id 上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计量模型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设备估算只用于续权；最终结算只认平台侧权威计量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1.4 设备身份与证书约束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量产设备建议在出厂时即写入唯一 device_id 和设备私钥。私钥优先放在安全芯片或系统安全区，服务端只保存对应公钥或证书映射。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6690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product_key</w:t>
            </w:r>
          </w:p>
        </w:tc>
        <w:tc>
          <w:tcPr>
            <w:tcW w:type="dxa" w:w="669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产品线标识，例如 WIFI_SPEAKER_PRO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device_id</w:t>
            </w:r>
          </w:p>
        </w:tc>
        <w:tc>
          <w:tcPr>
            <w:tcW w:type="dxa" w:w="669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设备唯一 ID，协议层和账本层的统一设备主键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device_public_key</w:t>
            </w:r>
          </w:p>
        </w:tc>
        <w:tc>
          <w:tcPr>
            <w:tcW w:type="dxa" w:w="669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设备公钥或证书公钥，用于登录校验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firmware_version</w:t>
            </w:r>
          </w:p>
        </w:tc>
        <w:tc>
          <w:tcPr>
            <w:tcW w:type="dxa" w:w="669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当前固件版本，用于灰度、风控和兼容性控制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risk_level</w:t>
            </w:r>
          </w:p>
        </w:tc>
        <w:tc>
          <w:tcPr>
            <w:tcW w:type="dxa" w:w="6690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服务端风险等级标签，用于强制降级或切代理通道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1.5 临时凭证与网关约束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本方案优先使用“设备登录控制服务 -&gt; 获取短期 JWT -&gt; 通过 APIG / AI Gateway 调用”这一条主路径。临时 API Key 仅作为受控增强能力，不作为所有量产设备的默认主模式。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凭证类型</w:t>
            </w:r>
          </w:p>
        </w:tc>
        <w:tc>
          <w:tcPr>
            <w:tcW w:type="dxa" w:w="2551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推荐角色</w:t>
            </w:r>
          </w:p>
        </w:tc>
        <w:tc>
          <w:tcPr>
            <w:tcW w:type="dxa" w:w="4535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约束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短期 JWT</w:t>
            </w:r>
          </w:p>
        </w:tc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主路径访问凭证</w:t>
            </w:r>
          </w:p>
        </w:tc>
        <w:tc>
          <w:tcPr>
            <w:tcW w:type="dxa" w:w="45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只允许调用你的 APIG / AI Gateway；TTL 建议 10-30 分钟。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临时 API Key</w:t>
            </w:r>
          </w:p>
        </w:tc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少量受控增强场景</w:t>
            </w:r>
          </w:p>
        </w:tc>
        <w:tc>
          <w:tcPr>
            <w:tcW w:type="dxa" w:w="45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必须绑定指定 endpoint 或 bot；TTL 尽量短；不可长期常驻设备。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RTC Token</w:t>
            </w:r>
          </w:p>
        </w:tc>
        <w:tc>
          <w:tcPr>
            <w:tcW w:type="dxa" w:w="2551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媒体面准入凭证</w:t>
            </w:r>
          </w:p>
        </w:tc>
        <w:tc>
          <w:tcPr>
            <w:tcW w:type="dxa" w:w="45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仅解决入房和媒体权限，不承担商业配额控制职责。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1.6 通用请求头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15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Header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6009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Content-Type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6009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固定 application/json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Authorization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6009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Bearer &lt;JWT&gt;，设备登录后获取的短期访问凭证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X-Api-Version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6009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协议版本，固定 1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X-Product-Key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6009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产品标识，如 WIFI_SPEAKER_PRO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X-Device-Id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6009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设备唯一标识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X-Request-Nonce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6009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请求随机串，用于防重放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1.7 通用响应结构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成功响应：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"1ec0bb1d-5e06-4c7d-80d8-6bd9d47f4c6a",</w:t>
              <w:br/>
              <w:t xml:space="preserve">  "server_time": 1774051200,</w:t>
              <w:br/>
              <w:t xml:space="preserve">  "data": {}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失败响应：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1402,</w:t>
              <w:br/>
              <w:t xml:space="preserve">  "message": "lease quota exhausted",</w:t>
              <w:br/>
              <w:t xml:space="preserve">  "request_id": "1ec0bb1d-5e06-4c7d-80d8-6bd9d47f4c6a",</w:t>
              <w:br/>
              <w:t xml:space="preserve">  "server_time": 1774051200,</w:t>
              <w:br/>
              <w:t xml:space="preserve">  "data": {</w:t>
              <w:br/>
              <w:t xml:space="preserve">    "grace_allowed": true,</w:t>
              <w:br/>
              <w:t xml:space="preserve">    "suggested_action": "FINISH_CURRENT_SEGMENT"</w:t>
              <w:br/>
              <w:t xml:space="preserve">  }</w:t>
              <w:br/>
              <w:t>}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1.8 错误码设计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code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HTTP</w:t>
            </w:r>
          </w:p>
        </w:tc>
        <w:tc>
          <w:tcPr>
            <w:tcW w:type="dxa" w:w="6576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含义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200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成功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1000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400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参数错误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1200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404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设备未激活或未注册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1201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403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设备已禁用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1300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401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JWT 无效或已过期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1400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403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会话开启被拒绝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1401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409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会话冲突或单设备单活冲突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1402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403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租约额度不足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1500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429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请求过于频繁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1600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409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会话恢复失败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5000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500</w:t>
            </w:r>
          </w:p>
        </w:tc>
        <w:tc>
          <w:tcPr>
            <w:tcW w:type="dxa" w:w="657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服务端内部错误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1.9 权威计量与账本对账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为补强会话审计、商业结算和异常排查，服务端应结合火山侧 usage、账单与数据回流能力，以平台侧权威计量作为最终结算依据。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835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来源</w:t>
            </w:r>
          </w:p>
        </w:tc>
        <w:tc>
          <w:tcPr>
            <w:tcW w:type="dxa" w:w="6236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用途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 heartbeat / report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运行态感知、弱网分析、体验追踪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网关请求日志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链路追踪、风控审计、接口 SLA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平台 usage / 账单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最终扣费、对账和纠偏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数据回流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二级审计、质检、训练和事件复盘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1.10 套餐 entitlement 语义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面向用户售卖的是 entitlement 和能力包，而不是原始 token。内部统一换算为 budget_units，并在账本中记录预占、消耗、释放和修正。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11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外部售卖项</w:t>
            </w:r>
          </w:p>
        </w:tc>
        <w:tc>
          <w:tcPr>
            <w:tcW w:type="dxa" w:w="595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内部映射</w:t>
            </w:r>
          </w:p>
        </w:tc>
      </w:tr>
      <w:tr>
        <w:tc>
          <w:tcPr>
            <w:tcW w:type="dxa" w:w="311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月度陪伴时长</w:t>
            </w:r>
          </w:p>
        </w:tc>
        <w:tc>
          <w:tcPr>
            <w:tcW w:type="dxa" w:w="595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语音任务预算 units</w:t>
            </w:r>
          </w:p>
        </w:tc>
      </w:tr>
      <w:tr>
        <w:tc>
          <w:tcPr>
            <w:tcW w:type="dxa" w:w="311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月度故事次数</w:t>
            </w:r>
          </w:p>
        </w:tc>
        <w:tc>
          <w:tcPr>
            <w:tcW w:type="dxa" w:w="595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长文本片段预算 units</w:t>
            </w:r>
          </w:p>
        </w:tc>
      </w:tr>
      <w:tr>
        <w:tc>
          <w:tcPr>
            <w:tcW w:type="dxa" w:w="311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高级模型权限</w:t>
            </w:r>
          </w:p>
        </w:tc>
        <w:tc>
          <w:tcPr>
            <w:tcW w:type="dxa" w:w="595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model_tier entitlement</w:t>
            </w:r>
          </w:p>
        </w:tc>
      </w:tr>
      <w:tr>
        <w:tc>
          <w:tcPr>
            <w:tcW w:type="dxa" w:w="311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家庭共享设备数</w:t>
            </w:r>
          </w:p>
        </w:tc>
        <w:tc>
          <w:tcPr>
            <w:tcW w:type="dxa" w:w="595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max_bound_devices entitlement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1.11 低水位续权与 grace quota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28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策略</w:t>
            </w:r>
          </w:p>
        </w:tc>
        <w:tc>
          <w:tcPr>
            <w:tcW w:type="dxa" w:w="578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推荐值</w:t>
            </w:r>
          </w:p>
        </w:tc>
      </w:tr>
      <w:tr>
        <w:tc>
          <w:tcPr>
            <w:tcW w:type="dxa" w:w="328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文本任务低水位阈值</w:t>
            </w:r>
          </w:p>
        </w:tc>
        <w:tc>
          <w:tcPr>
            <w:tcW w:type="dxa" w:w="578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剩余 20%-30% 时后台续权</w:t>
            </w:r>
          </w:p>
        </w:tc>
      </w:tr>
      <w:tr>
        <w:tc>
          <w:tcPr>
            <w:tcW w:type="dxa" w:w="328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语音任务低水位阈值</w:t>
            </w:r>
          </w:p>
        </w:tc>
        <w:tc>
          <w:tcPr>
            <w:tcW w:type="dxa" w:w="578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剩余 30%-40% 时后台续权</w:t>
            </w:r>
          </w:p>
        </w:tc>
      </w:tr>
      <w:tr>
        <w:tc>
          <w:tcPr>
            <w:tcW w:type="dxa" w:w="328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grace quota</w:t>
            </w:r>
          </w:p>
        </w:tc>
        <w:tc>
          <w:tcPr>
            <w:tcW w:type="dxa" w:w="578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仅用于收完当前句 / 当前段 / 当前故事片</w:t>
            </w:r>
          </w:p>
        </w:tc>
      </w:tr>
      <w:tr>
        <w:tc>
          <w:tcPr>
            <w:tcW w:type="dxa" w:w="328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续权形态</w:t>
            </w:r>
          </w:p>
        </w:tc>
        <w:tc>
          <w:tcPr>
            <w:tcW w:type="dxa" w:w="578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静默后台续租，不阻塞当前生成链路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所有长故事、长播报、长续写任务都必须按自然边界切分，避免“生成到一半突然断”带来的糟糕体验。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1.12 风控与审计基线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835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规则</w:t>
            </w:r>
          </w:p>
        </w:tc>
        <w:tc>
          <w:tcPr>
            <w:tcW w:type="dxa" w:w="6236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单设备单活会话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同一设备在同一时刻只允许一个主会话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单用户并发设备数限制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防止家庭号或共享号绕过套餐设计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租约续签频率限制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防止异常续权放大账单风险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黑白名单和风险标签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高风险设备可强制切换为代理通道或直接拒绝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审计链路保留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会话、租约、回调、账本流水必须可追溯</w:t>
            </w:r>
          </w:p>
        </w:tc>
      </w:tr>
    </w:tbl>
    <w:p/>
    <w:p>
      <w:pPr>
        <w:spacing w:before="200" w:after="80"/>
      </w:pPr>
      <w:r>
        <w:rPr>
          <w:rFonts w:ascii="PingFang SC" w:hAnsi="PingFang SC" w:eastAsia="PingFang SC"/>
          <w:b/>
          <w:sz w:val="30"/>
        </w:rPr>
        <w:t>二、系统总览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2.1 分层架构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+------------------+      +----------------------+      +----------------------+</w:t>
              <w:br/>
              <w:t>| 设备               |      | 业务服务端            |      | 火山云侧              |</w:t>
              <w:br/>
              <w:t>| - 设备证书身份      |      | - 设备身份中心        |      | - 自建推理接入点      |</w:t>
              <w:br/>
              <w:t>| - JWT / RTC Token  |      | - APIG / AI Gateway   |      | - RTC / 媒体服务      |</w:t>
              <w:br/>
              <w:t>| - 心跳 / 续权       |      | - 会话与租约中心      |      | - Usage / 账单        |</w:t>
              <w:br/>
              <w:t>| - 媒体播放缓冲      |      | - 配额账本            |      | - 数据回流            |</w:t>
              <w:br/>
              <w:t>+--------+---------+      | - 风控与审计          |      +----------+-----------+</w:t>
              <w:br/>
              <w:t xml:space="preserve">         |                | - 运营后台            |                 ^</w:t>
              <w:br/>
              <w:t xml:space="preserve">         +----------------+----------------------+-----------------+</w:t>
              <w:br/>
              <w:t xml:space="preserve">                          控制面 / 任务面                     媒体面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2.2 关键对象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26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对象</w:t>
            </w:r>
          </w:p>
        </w:tc>
        <w:tc>
          <w:tcPr>
            <w:tcW w:type="dxa" w:w="680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device_id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设备唯一身份主键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session_id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一段连续的用户使用会话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lease_id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一次任务租约或预算切片对象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request_id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链路追踪请求 ID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task_id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上游任务主键，用于 usage 与回流对账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budget_units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内部统一预算单位，用于 entitlement 和账本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2.3 会话状态机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IDLE</w:t>
              <w:br/>
              <w:t xml:space="preserve">  |</w:t>
              <w:br/>
              <w:t xml:space="preserve">  +--&gt; OPENING --&gt; ACTIVE --&gt; DRAINING --&gt; CLOSED</w:t>
              <w:br/>
              <w:t xml:space="preserve">                    |   ^        |</w:t>
              <w:br/>
              <w:t xml:space="preserve">                    |   |        +--&gt; CLOSED_BY_QUOTA</w:t>
              <w:br/>
              <w:t xml:space="preserve">                    |   |</w:t>
              <w:br/>
              <w:t xml:space="preserve">                    |   +--&gt; RENEWING</w:t>
              <w:br/>
              <w:t xml:space="preserve">                    |</w:t>
              <w:br/>
              <w:t xml:space="preserve">                    +--&gt; INTERRUPTED --&gt; RESUMING --&gt; ACTIVE</w:t>
              <w:br/>
              <w:t xml:space="preserve">                    |</w:t>
              <w:br/>
              <w:t xml:space="preserve">                    +--&gt; TERMINATED_BY_RISK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说明：DRAINING 表示已不再发放新租约，但允许设备使用 grace quota 将当前片段收口；INTERRUPTED / RESUMING 用于弱网和进程重启场景。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2.4 套餐与分账策略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26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维度</w:t>
            </w:r>
          </w:p>
        </w:tc>
        <w:tc>
          <w:tcPr>
            <w:tcW w:type="dxa" w:w="680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建议字段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用户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user_id、plan_id、entitlement_set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device_id、product_key、risk_level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渠道 / OEM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channel_id、tenant_id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成本维度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model_tier、feature_id、task_type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对账维度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task_id、session_id、lease_id、request_id</w:t>
            </w:r>
          </w:p>
        </w:tc>
      </w:tr>
    </w:tbl>
    <w:p/>
    <w:p>
      <w:pPr>
        <w:spacing w:before="200" w:after="80"/>
      </w:pPr>
      <w:r>
        <w:rPr>
          <w:rFonts w:ascii="PingFang SC" w:hAnsi="PingFang SC" w:eastAsia="PingFang SC"/>
          <w:b/>
          <w:sz w:val="30"/>
        </w:rPr>
        <w:t>三、接口详细设计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3.1 设备激活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/api/v1/device/activate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product_key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产品标识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设备唯一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device_nonce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随机串，用于防重放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device_signature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设备签名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firmware_version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当前固件版本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1774051200,</w:t>
              <w:br/>
              <w:t xml:space="preserve">  "product_key": "WIFI_SPEAKER_PRO",</w:t>
              <w:br/>
              <w:t xml:space="preserve">  "device_id": "dev_20260321_000001",</w:t>
              <w:br/>
              <w:t xml:space="preserve">  "device_nonce": "9d2a4ce8",</w:t>
              <w:br/>
              <w:t xml:space="preserve">  "device_signature": "&lt;SIGNATURE&gt;",</w:t>
              <w:br/>
              <w:t xml:space="preserve">  "firmware_version": "1.0.0"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"req_activate_0001",</w:t>
              <w:br/>
              <w:t xml:space="preserve">  "server_time": 1774051200,</w:t>
              <w:br/>
              <w:t xml:space="preserve">  "data": {</w:t>
              <w:br/>
              <w:t xml:space="preserve">    "activation_status": "ACTIVATED",</w:t>
              <w:br/>
              <w:t xml:space="preserve">    "device_profile_version": "2026032101"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设备激活成功后，后续所有登录、会话和账本行为都绑定到同一 device_id。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如果设备已激活，服务端可返回当前有效 profile 版本，避免重复激活。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3.2 设备登录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/api/v1/device/login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device_nonce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随机串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device_signature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设备签名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firmware_version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当前固件版本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1774051200,</w:t>
              <w:br/>
              <w:t xml:space="preserve">  "device_nonce": "64b3ad87",</w:t>
              <w:br/>
              <w:t xml:space="preserve">  "device_signature": "&lt;SIGNATURE&gt;",</w:t>
              <w:br/>
              <w:t xml:space="preserve">  "firmware_version": "1.0.0"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"req_login_0001",</w:t>
              <w:br/>
              <w:t xml:space="preserve">  "server_time": 1774051200,</w:t>
              <w:br/>
              <w:t xml:space="preserve">  "data": {</w:t>
              <w:br/>
              <w:t xml:space="preserve">    "access_token": "&lt;JWT&gt;",</w:t>
              <w:br/>
              <w:t xml:space="preserve">    "expires_at": 1774053000,</w:t>
              <w:br/>
              <w:t xml:space="preserve">    "refresh_before_seconds": 120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主路径推荐返回短期 JWT，让设备统一经 APIG / AI Gateway 发起后续业务请求。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临时 API Key 仅在受控增强场景下由服务端另行下发，不应作为默认模式。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3.3 开启会话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/api/v1/session/open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user_id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当前用户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task_type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任务类型，如 STORY / TALK / CHAT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device_state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设备当前状态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audio_codec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语音场景下的音频编码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1774051200,</w:t>
              <w:br/>
              <w:t xml:space="preserve">  "user_id": "user_10001",</w:t>
              <w:br/>
              <w:t xml:space="preserve">  "task_type": "STORY",</w:t>
              <w:br/>
              <w:t xml:space="preserve">  "device_state": "IDLE",</w:t>
              <w:br/>
              <w:t xml:space="preserve">  "audio_codec": "G711A"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"req_open_0001",</w:t>
              <w:br/>
              <w:t xml:space="preserve">  "server_time": 1774051200,</w:t>
              <w:br/>
              <w:t xml:space="preserve">  "data": {</w:t>
              <w:br/>
              <w:t xml:space="preserve">    "session_id": "sess_20260321_abcd1234",</w:t>
              <w:br/>
              <w:t xml:space="preserve">    "lease_id": "lease_20260321_0001",</w:t>
              <w:br/>
              <w:t xml:space="preserve">    "granted_units": 12000,</w:t>
              <w:br/>
              <w:t xml:space="preserve">    "soft_threshold_units": 3600,</w:t>
              <w:br/>
              <w:t xml:space="preserve">    "grace_units": 1200,</w:t>
              <w:br/>
              <w:t xml:space="preserve">    "gateway_route": "story-primary",</w:t>
              <w:br/>
              <w:t xml:space="preserve">    "rtc_token": "&lt;RTC_TOKEN&gt;",</w:t>
              <w:br/>
              <w:t xml:space="preserve">    "rtc_expire_at": 1774052100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服务端在此处完成 entitlement 校验、预算预占、单设备单活会话校验和风控判断。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长故事任务建议在这里明确分段目标，以便后续自然边界续权。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3.4 续签租约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/api/v1/lease/renew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当前会话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lease_id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当前租约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estimated_consumed_units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设备侧估算已消费预算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current_segment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当前任务片段标识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1774051680,</w:t>
              <w:br/>
              <w:t xml:space="preserve">  "session_id": "sess_20260321_abcd1234",</w:t>
              <w:br/>
              <w:t xml:space="preserve">  "lease_id": "lease_20260321_0001",</w:t>
              <w:br/>
              <w:t xml:space="preserve">  "estimated_consumed_units": 8600,</w:t>
              <w:br/>
              <w:t xml:space="preserve">  "current_segment": "story_part_03"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"req_renew_0001",</w:t>
              <w:br/>
              <w:t xml:space="preserve">  "server_time": 1774051680,</w:t>
              <w:br/>
              <w:t xml:space="preserve">  "data": {</w:t>
              <w:br/>
              <w:t xml:space="preserve">    "next_lease_id": "lease_20260321_0002",</w:t>
              <w:br/>
              <w:t xml:space="preserve">    "granted_units": 10000,</w:t>
              <w:br/>
              <w:t xml:space="preserve">    "soft_threshold_units": 3000,</w:t>
              <w:br/>
              <w:t xml:space="preserve">    "grace_units": 1200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续权动作应由设备后台静默触发，不应阻塞当前流式输出链路。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若服务端判定不再续租，应允许设备进入 DRAINING，并使用 grace quota 收完当前片段。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3.5 心跳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/api/v1/device/heartbeat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当前会话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device_state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设备当前运行状态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firmware_version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固件版本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uptime_seconds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运行时长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1774051800,</w:t>
              <w:br/>
              <w:t xml:space="preserve">  "session_id": "sess_20260321_abcd1234",</w:t>
              <w:br/>
              <w:t xml:space="preserve">  "device_state": "ACTIVE",</w:t>
              <w:br/>
              <w:t xml:space="preserve">  "firmware_version": "1.0.0",</w:t>
              <w:br/>
              <w:t xml:space="preserve">  "uptime_seconds": 7200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"req_heartbeat_0001",</w:t>
              <w:br/>
              <w:t xml:space="preserve">  "server_time": 1774051800,</w:t>
              <w:br/>
              <w:t xml:space="preserve">  "data": {</w:t>
              <w:br/>
              <w:t xml:space="preserve">    "heartbeat_interval_seconds": 60,</w:t>
              <w:br/>
              <w:t xml:space="preserve">    "server_action": "NONE",</w:t>
              <w:br/>
              <w:t xml:space="preserve">    "message": null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心跳只用于设备状态感知、动作下发和弱网分析，不作为最终计量真相。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3.6 恢复会话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/api/v1/session/resume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待恢复会话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last_lease_id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最后一次已知租约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resume_reason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恢复原因，如 NETWORK_RECOVERED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1774051860,</w:t>
              <w:br/>
              <w:t xml:space="preserve">  "session_id": "sess_20260321_abcd1234",</w:t>
              <w:br/>
              <w:t xml:space="preserve">  "last_lease_id": "lease_20260321_0002",</w:t>
              <w:br/>
              <w:t xml:space="preserve">  "resume_reason": "NETWORK_RECOVERED"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"req_resume_0001",</w:t>
              <w:br/>
              <w:t xml:space="preserve">  "server_time": 1774051860,</w:t>
              <w:br/>
              <w:t xml:space="preserve">  "data": {</w:t>
              <w:br/>
              <w:t xml:space="preserve">    "resume_status": "ALLOWED",</w:t>
              <w:br/>
              <w:t xml:space="preserve">    "effective_lease_id": "lease_20260321_0002",</w:t>
              <w:br/>
              <w:t xml:space="preserve">    "grace_allowed": true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恢复流程必须重新校验租约、风控状态和会话有效性，不能直接默认恢复。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3.7 关闭会话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/api/v1/session/close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timestamp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请求发送时间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当前会话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close_reason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结束原因，如 USER_FINISHED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device_summary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object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设备侧摘要，例如片段完成情况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"timestamp": 1774052100,</w:t>
              <w:br/>
              <w:t xml:space="preserve">  "session_id": "sess_20260321_abcd1234",</w:t>
              <w:br/>
              <w:t xml:space="preserve">  "close_reason": "USER_FINISHED",</w:t>
              <w:br/>
              <w:t xml:space="preserve">  "device_summary": {</w:t>
              <w:br/>
              <w:t xml:space="preserve">    "completed_segment": "story_part_04"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"req_close_0001",</w:t>
              <w:br/>
              <w:t xml:space="preserve">  "server_time": 1774052100,</w:t>
              <w:br/>
              <w:t xml:space="preserve">  "data": {</w:t>
              <w:br/>
              <w:t xml:space="preserve">    "session_status": "CLOSED",</w:t>
              <w:br/>
              <w:t xml:space="preserve">    "settlement_status": "PENDING_USAGE_RECONCILIATION"</w:t>
              <w:br/>
              <w:t xml:space="preserve">  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关闭会话时，账本只做临时汇总；最终结算仍应等待平台侧 usage 与回流数据。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3.8 用量回调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请求路径：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POST /api/v1/vendor/usage/callback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请求参数：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984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字段</w:t>
            </w:r>
          </w:p>
        </w:tc>
        <w:tc>
          <w:tcPr>
            <w:tcW w:type="dxa" w:w="124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类型</w:t>
            </w:r>
          </w:p>
        </w:tc>
        <w:tc>
          <w:tcPr>
            <w:tcW w:type="dxa" w:w="907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必填</w:t>
            </w:r>
          </w:p>
        </w:tc>
        <w:tc>
          <w:tcPr>
            <w:tcW w:type="dxa" w:w="4932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task_id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上游任务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session_id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string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业务会话 ID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input_tokens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输入 token 数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output_tokens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输出 token 数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rtc_seconds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否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媒体时长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event_time</w:t>
            </w:r>
          </w:p>
        </w:tc>
        <w:tc>
          <w:tcPr>
            <w:tcW w:type="dxa" w:w="124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int</w:t>
            </w:r>
          </w:p>
        </w:tc>
        <w:tc>
          <w:tcPr>
            <w:tcW w:type="dxa" w:w="907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✅</w:t>
            </w:r>
          </w:p>
        </w:tc>
        <w:tc>
          <w:tcPr>
            <w:tcW w:type="dxa" w:w="4932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事件时间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请求示例：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"task_id": "task_20260321_0001",</w:t>
              <w:br/>
              <w:t xml:space="preserve">  "session_id": "sess_20260321_abcd1234",</w:t>
              <w:br/>
              <w:t xml:space="preserve">  "input_tokens": 3421,</w:t>
              <w:br/>
              <w:t xml:space="preserve">  "output_tokens": 8912,</w:t>
              <w:br/>
              <w:t xml:space="preserve">  "rtc_seconds": 518,</w:t>
              <w:br/>
              <w:t xml:space="preserve">  "event_time": 1774052140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响应示例：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{</w:t>
              <w:br/>
              <w:t xml:space="preserve">  "code": 0,</w:t>
              <w:br/>
              <w:t xml:space="preserve">  "message": "success",</w:t>
              <w:br/>
              <w:t xml:space="preserve">  "request_id": "req_usage_cb_0001",</w:t>
              <w:br/>
              <w:t xml:space="preserve">  "server_time": 1774052141,</w:t>
              <w:br/>
              <w:t xml:space="preserve">  "data": {}</w:t>
              <w:br/>
              <w:t>}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说明：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服务端收到回调后，需把 usage 归因到 user_id、device_id、session_id、lease_id 和 plan_id。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若账本实时估算与平台权威 usage 不一致，应用 settlement_delta 做纠偏。</w:t>
      </w:r>
    </w:p>
    <w:p>
      <w:pPr>
        <w:spacing w:before="200" w:after="80"/>
      </w:pPr>
      <w:r>
        <w:rPr>
          <w:rFonts w:ascii="PingFang SC" w:hAnsi="PingFang SC" w:eastAsia="PingFang SC"/>
          <w:b/>
          <w:sz w:val="30"/>
        </w:rPr>
        <w:t>四、数据模型与账本设计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4.1 核心表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835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表名</w:t>
            </w:r>
          </w:p>
        </w:tc>
        <w:tc>
          <w:tcPr>
            <w:tcW w:type="dxa" w:w="6236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作用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device_registry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设备身份、固件、风险等级、证书映射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user_subscription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套餐、entitlement、周期和 overage 策略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device_binding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用户与设备绑定关系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session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会话生命周期状态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lease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租约、低水位阈值、grace quota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quota_ledger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预算流水账本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vendor_usage_raw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平台 usage 原始数据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usage_settlement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归因与纠偏结果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4.2 流水类型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835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流水类型</w:t>
            </w:r>
          </w:p>
        </w:tc>
        <w:tc>
          <w:tcPr>
            <w:tcW w:type="dxa" w:w="6236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RESERVE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开启会话时预占预算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CONSUME_ESTIMATE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实时估算消耗，仅用于运行期判断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GRACE_CONSUME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grace quota 消耗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RELEASE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未用完预算释放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SETTLEMENT_DELTA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平台权威 usage 回来后的纠偏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MANUAL_ADJUST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人工调整，例如客服补偿或风险止损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4.3 结算规则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推荐顺序：先预占、再运行、后核账、最后结算。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7F7F7"/>
            <w:vAlign w:val="top"/>
          </w:tcPr>
          <w:p>
            <w:pPr>
              <w:spacing w:before="80" w:after="80" w:line="252" w:lineRule="auto"/>
            </w:pPr>
            <w:r>
              <w:rPr>
                <w:rFonts w:ascii="Menlo" w:hAnsi="Menlo" w:eastAsia="Menlo"/>
                <w:b w:val="0"/>
                <w:sz w:val="17"/>
              </w:rPr>
              <w:t>会话开始 -&gt; RESERVE</w:t>
              <w:br/>
              <w:t>运行期 -&gt; CONSUME_ESTIMATE</w:t>
              <w:br/>
              <w:t>平台 usage 回来 -&gt; SETTLEMENT_DELTA</w:t>
              <w:br/>
              <w:t>未用完预算 -&gt; RELEASE</w:t>
              <w:br/>
              <w:t>人工纠偏 -&gt; MANUAL_ADJUST</w:t>
            </w:r>
          </w:p>
        </w:tc>
      </w:tr>
    </w:tbl>
    <w:p/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设备估算仅参与低水位续权；最终扣费必须以平台侧 usage 或账单为准。</w:t>
      </w:r>
    </w:p>
    <w:p>
      <w:pPr>
        <w:spacing w:before="200" w:after="80"/>
      </w:pPr>
      <w:r>
        <w:rPr>
          <w:rFonts w:ascii="PingFang SC" w:hAnsi="PingFang SC" w:eastAsia="PingFang SC"/>
          <w:b/>
          <w:sz w:val="30"/>
        </w:rPr>
        <w:t>五、部署与运维建议</w:t>
      </w:r>
    </w:p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5.1 1000 台接入建议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建议采用单地域、双实例业务服务、托管数据库和托管 Redis 的最小生产配置。媒体面直连云侧，控制面与文本任务面走 APIG / AI Gateway。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26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层</w:t>
            </w:r>
          </w:p>
        </w:tc>
        <w:tc>
          <w:tcPr>
            <w:tcW w:type="dxa" w:w="680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建议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业务服务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2 台 4核8G，主打会话、租约、账本和回调处理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数据库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 套托管 MySQL，保存 session、lease、账本与审计数据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缓存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1 套托管 Redis，保存 JWT、会话状态、低水位和限流状态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网关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优先采用托管 APIG / AI Gateway，不自建统一入口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5.2 10000 台接入建议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建议采用主自建推理接入点 + 备用接入点，业务服务与异步回调处理分离，账本和运维接口独立部署。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268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层</w:t>
            </w:r>
          </w:p>
        </w:tc>
        <w:tc>
          <w:tcPr>
            <w:tcW w:type="dxa" w:w="6803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建议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业务服务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4 台 8核16G 或以上，按会话与文本任务面拆分职责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异步与结算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建议独立 worker 节点，专门处理回调、账本和对账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数据库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选择高可用托管 MySQL，并预留读扩展与备份策略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缓存</w:t>
            </w:r>
          </w:p>
        </w:tc>
        <w:tc>
          <w:tcPr>
            <w:tcW w:type="dxa" w:w="6803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选择托管 Redis，并单独监控热点键与连接数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5.3 监控与告警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835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告警项</w:t>
            </w:r>
          </w:p>
        </w:tc>
        <w:tc>
          <w:tcPr>
            <w:tcW w:type="dxa" w:w="6236"/>
            <w:shd w:fill="EDEDED"/>
            <w:vAlign w:val="center"/>
          </w:tcPr>
          <w:p>
            <w:pPr>
              <w:jc w:val="center"/>
            </w:pPr>
            <w:r/>
            <w:r>
              <w:rPr>
                <w:rFonts w:ascii="PingFang SC" w:hAnsi="PingFang SC" w:eastAsia="PingFang SC"/>
                <w:b/>
                <w:sz w:val="21"/>
              </w:rPr>
              <w:t>阈值建议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JWT 登录失败率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5 分钟窗口连续升高时告警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会话开启拒绝率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套餐耗尽与风控拒绝需拆分统计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租约续签失败率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高于基线需排查网关、账本或 entitlement 服务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回调积压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usage 回调延迟超过 10 分钟时告警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账本差异</w:t>
            </w:r>
          </w:p>
        </w:tc>
        <w:tc>
          <w:tcPr>
            <w:tcW w:type="dxa" w:w="6236"/>
            <w:vAlign w:val="center"/>
          </w:tcPr>
          <w:p>
            <w:pPr>
              <w:spacing w:before="40" w:after="40"/>
            </w:pPr>
            <w:r/>
            <w:r>
              <w:rPr>
                <w:rFonts w:ascii="Songti SC" w:hAnsi="Songti SC" w:eastAsia="Songti SC"/>
                <w:b w:val="0"/>
                <w:sz w:val="20"/>
              </w:rPr>
              <w:t>实时估算与权威计量偏差超过阈值时告警</w:t>
            </w:r>
          </w:p>
        </w:tc>
      </w:tr>
    </w:tbl>
    <w:p/>
    <w:p>
      <w:pPr>
        <w:spacing w:before="160" w:after="80"/>
      </w:pPr>
      <w:r>
        <w:rPr>
          <w:rFonts w:ascii="PingFang SC" w:hAnsi="PingFang SC" w:eastAsia="PingFang SC"/>
          <w:b/>
          <w:sz w:val="25"/>
        </w:rPr>
        <w:t>5.4 版本与变更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1"/>
        </w:rPr>
        <w:t>本方案建议保留统一的协议版本号和文档版本号。涉及字段新增时，优先采用向后兼容方式扩展；涉及安全与风控切换时，优先通过服务端策略灰度而不是频繁要求设备升级。</w:t>
      </w:r>
    </w:p>
    <w:p>
      <w:r>
        <w:br w:type="page"/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2"/>
        </w:rPr>
        <w:t>文档版本：1.0</w:t>
      </w:r>
    </w:p>
    <w:p>
      <w:pPr>
        <w:keepLines w:val="0"/>
        <w:spacing w:before="0" w:after="80" w:line="300" w:lineRule="auto"/>
        <w:jc w:val="left"/>
      </w:pPr>
      <w:r>
        <w:rPr>
          <w:rFonts w:ascii="Songti SC" w:hAnsi="Songti SC" w:eastAsia="Songti SC"/>
          <w:b w:val="0"/>
          <w:sz w:val="22"/>
        </w:rPr>
        <w:t>最后更新：2026 年 3 月 21 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361" w:right="1247" w:bottom="1247" w:left="1247" w:header="51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Songti SC" w:hAnsi="Songti SC" w:eastAsia="Songti SC"/>
        <w:b w:val="0"/>
        <w:color w:val="666666"/>
        <w:sz w:val="17"/>
      </w:rPr>
      <w:t xml:space="preserve">第 </w:t>
    </w:r>
    <w:r>
      <w:fldChar w:fldCharType="begin"/>
      <w:instrText>PAGE</w:instrText>
      <w:fldChar w:fldCharType="end"/>
    </w:r>
    <w:r>
      <w:rPr>
        <w:rFonts w:ascii="Songti SC" w:hAnsi="Songti SC" w:eastAsia="Songti SC"/>
        <w:b w:val="0"/>
        <w:color w:val="666666"/>
        <w:sz w:val="17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PingFang SC" w:hAnsi="PingFang SC" w:eastAsia="PingFang SC"/>
        <w:b w:val="0"/>
        <w:color w:val="666666"/>
        <w:sz w:val="17"/>
      </w:rPr>
      <w:t>量产版 AI 接入与商业化方案设计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